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61" text:style-name="Internet_20_link" text:visited-style-name="Visited_20_Internet_20_Link">
              <text:span text:style-name="ListLabel_20_28">
                <text:span text:style-name="T8">1 Dorps(-ambitie)plan Oudleusen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61"/>
        Dorps(-ambitie)plan Oudleusen
        <text:bookmark-end text:name="4376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03-04-2025 10:46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Dorps(-ambitie)plan Oudleusen, 20250403
              <text:span text:style-name="T3"/>
            </text:p>
            <text:p text:style-name="P7"/>
          </table:table-cell>
          <table:table-cell table:style-name="Table4.A2" office:value-type="string">
            <text:p text:style-name="P8">03-04-2025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41,55 KB</text:p>
          </table:table-cell>
          <table:table-cell table:style-name="Table4.A2" office:value-type="string">
            <text:p text:style-name="P33">
              <text:a xlink:type="simple" xlink:href="https://ris.dalfsen.nl//Raadsinformatie/Raadsmemo-Dorps-ambitie-plan-Oudleusen-202504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6" meta:character-count="342" meta:non-whitespace-character-count="32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952748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952748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