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1" w:history="1">
        <w:r>
          <w:rPr>
            <w:rFonts w:ascii="Arial" w:hAnsi="Arial" w:eastAsia="Arial" w:cs="Arial"/>
            <w:color w:val="155CAA"/>
            <w:u w:val="single"/>
          </w:rPr>
          <w:t xml:space="preserve">1 Archiefjaarverslag 2023 en KPI-rapportage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1"/>
      <w:r w:rsidRPr="00A448AC">
        <w:rPr>
          <w:rFonts w:ascii="Arial" w:hAnsi="Arial" w:cs="Arial"/>
          <w:b/>
          <w:bCs/>
          <w:color w:val="303F4C"/>
          <w:lang w:val="en-US"/>
        </w:rPr>
        <w:t>Archiefjaarverslag 2023 en KPI-rapportage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Archiefjaarverslag 2023 en KPI-rapportage 2023, 20240613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rchiefjaarverslag-2023-en-KPI-rapportage-2023-202406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