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8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04-07-2025 03:27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Motie, D66-PvdA-VVD-CU, Beleid inwonerbetrokkenheid, Vroegtijdige betrokkenheid van inwoners,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28,10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PvdA-VVD-CU-Beleid-inwonerbetrokkenheid-Vroegtijdige-betrokkenheid-van-inwoners-23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Motie, D66-ChristenUnie-PvdA-VVD-GB, Beleid inwonerbetrokkenheid, Kansrijk intiatief zonder beleidsmatch, 23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27-06-2025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164,96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leid-inwonerbetrokkenheid/Motie-D66-ChristenUnie-PvdA-VVD-GB-Beleid-inwonerbetrokkenheid-Kansrijk-intiatief-zonder-beleidsmatch-23-jun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Motie, GB-PvdA-VVD-D66-CDA, Jaarstukken 2024, Heroverweging nota risicomanagement en weerstandsvermogen, Raad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03-06-2025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22,84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Jaarstukken-2024/Motie-GB-PvdA-VVD-D66-CDA-Jaarstukken-2024-Heroverweging-nota-risicomanagement-en-weerstandsvermogen-Raad-2-juni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0" meta:character-count="533" meta:non-whitespace-character-count="49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135775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135775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