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4" w:history="1">
        <w:r>
          <w:rPr>
            <w:rFonts w:ascii="Arial" w:hAnsi="Arial" w:eastAsia="Arial" w:cs="Arial"/>
            <w:color w:val="155CAA"/>
            <w:u w:val="single"/>
          </w:rPr>
          <w:t xml:space="preserve">1 Voorbereidingsgroep ‘Invoering wijziging Wgr IJsselland’, Terugblik en vooruitblik wijziging WGR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4"/>
      <w:r w:rsidRPr="00A448AC">
        <w:rPr>
          <w:rFonts w:ascii="Arial" w:hAnsi="Arial" w:cs="Arial"/>
          <w:b/>
          <w:bCs/>
          <w:color w:val="303F4C"/>
          <w:lang w:val="en-US"/>
        </w:rPr>
        <w:t>Voorbereidingsgroep ‘Invoering wijziging Wgr IJsselland’, Terugblik en vooruitblik wijziging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Voorbereidingsgroep ‘Invoering wijziging Wgr IJsselland’, Terugblik en vooruitblik wijziging Wgr, 20230627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oorbereidingsgroep-Invoering-wijziging-Wgr-IJsselland-Terugblik-en-vooruitblik-wijziging-Wgr-202306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