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22" text:style-name="Internet_20_link" text:visited-style-name="Visited_20_Internet_20_Link">
              <text:span text:style-name="ListLabel_20_28">
                <text:span text:style-name="T8">1 Rapport armoedefonds - De impact van voortdurende armoede op hulporganisaties in Nederland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22"/>
        Rapport armoedefonds - De impact van voortdurende armoede op hulporganisaties in Nederland
        <text:bookmark-end text:name="433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04-01-2024 12:41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Armoedefonds, De impact van voortdurende armoede op hulporganisaties in Nederland, 20240104
              <text:span text:style-name="T3"/>
            </text:p>
            <text:p text:style-name="P7"/>
          </table:table-cell>
          <table:table-cell table:style-name="Table4.A2" office:value-type="string">
            <text:p text:style-name="P8">04-01-2024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583,25 KB</text:p>
          </table:table-cell>
          <table:table-cell table:style-name="Table4.A2" office:value-type="string">
            <text:p text:style-name="P33">
              <text:a xlink:type="simple" xlink:href="https://ris.dalfsen.nl//Raadsinformatie/Bijlage/Brf-Armoedefonds-De-impact-van-voortdurende-armoede-op-hulporganisaties-in-Nederland-20240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41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