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356" w:history="1">
        <w:r>
          <w:rPr>
            <w:rFonts w:ascii="Arial" w:hAnsi="Arial" w:eastAsia="Arial" w:cs="Arial"/>
            <w:color w:val="155CAA"/>
            <w:u w:val="single"/>
          </w:rPr>
          <w:t xml:space="preserve">1 Raad 28 sep 2015 - Ingekomen stuk - WSW Clientenraad, reactie en advies mbt mensen met sw indicatie, nr 27701-30375, 20150804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356"/>
      <w:r w:rsidRPr="00A448AC">
        <w:rPr>
          <w:rFonts w:ascii="Arial" w:hAnsi="Arial" w:cs="Arial"/>
          <w:b/>
          <w:bCs/>
          <w:color w:val="303F4C"/>
          <w:lang w:val="en-US"/>
        </w:rPr>
        <w:t>Raad 28 sep 2015 - Ingekomen stuk - WSW Clientenraad, reactie en advies mbt mensen met sw indicatie, nr 27701-30375, 20150804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08-10-2015 11:45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28 sep 2015 - Ingekomen stuk - WSW Clientenraad, reactie en advies mbt mensen met sw indicatie, nr 27701-30375, 20150804.pdf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06-08-2015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372,03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28-sep-2015-Ingekomen-stuk-WSW-Clientenraad-reactie-en-advies-mbt-mensen-met-sw-indicatie-nr-27701-30375-2015080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