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65" w:history="1">
        <w:r>
          <w:rPr>
            <w:rFonts w:ascii="Arial" w:hAnsi="Arial" w:eastAsia="Arial" w:cs="Arial"/>
            <w:color w:val="155CAA"/>
            <w:u w:val="single"/>
          </w:rPr>
          <w:t xml:space="preserve">1 Raad 27 mei 2013 - Ingekomen stuk, Inspectie leefomgeving en transport, gemeentelijk toezicht brandveiligheid, nr 6887-12564, 20130425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65"/>
      <w:r w:rsidRPr="00A448AC">
        <w:rPr>
          <w:rFonts w:ascii="Arial" w:hAnsi="Arial" w:cs="Arial"/>
          <w:b/>
          <w:bCs/>
          <w:color w:val="303F4C"/>
          <w:lang w:val="en-US"/>
        </w:rPr>
        <w:t>Raad 27 mei 2013 - Ingekomen stuk, Inspectie leefomgeving en transport, gemeentelijk toezicht brandveiligheid, nr 6887-12564, 20130425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03-06-2013 09:49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mei 2013 - Ingekomen stuk, Inspectie leefomgeving en transport, gemeentelijk toezicht brandveiligheid, nr 6887-12564, 20130425.pdf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151,18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7-mei-2013---Ingekomen-stuk--Inspectie-leefomgeving-en-transport--gemeentelijk-toezicht-brandveiligheid--nr-6887-12564--201304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