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0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2014 - Ingekomen stuk, Aanneming benoeming wethouder N.L. Agricola, 20140520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0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Aanneming benoeming wethouder N.L. Agricola, 20140520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Aanneming benoeming wethouder N.L. Agricola, 20140520.pdf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mei-2014-Ingekomen-stuk-Aanneming-benoeming-wethouder-N-L-Agricola-201405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