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17" w:history="1">
        <w:r>
          <w:rPr>
            <w:rFonts w:ascii="Arial" w:hAnsi="Arial" w:eastAsia="Arial" w:cs="Arial"/>
            <w:color w:val="155CAA"/>
            <w:u w:val="single"/>
          </w:rPr>
          <w:t xml:space="preserve">1 Raad 25 nov 2013 - Ingekomen stuk, RvS BP Kern Dalfsen aanvullende stukken Hof van Dalfsen, nr 9507-15797, 20131018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17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RvS BP Kern Dalfsen aanvullende stukken Hof van Dalfsen, nr 9507-15797, 20131018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RvS BP Kern Dalfsen aanvullende stukken Hof van Dalfsen, nr 9507-15797, 20131018.pdf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nov-2013---Ingekomen-stuk--RvS-BP-Kern-Dalfsen-aanvullende-stukken-Hof-van-Dalfsen--nr-9507-15797--201310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