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40" text:style-name="Internet_20_link" text:visited-style-name="Visited_20_Internet_20_Link">
              <text:span text:style-name="ListLabel_20_28">
                <text:span text:style-name="T8">1 Raad 25 apr 2016 - Ingekomen stuk, Samenwerkende particuliere bungalowparken, Forensenbelasting recreatiewoningen gemeente Ommen, nr 19-45-3019, 20160331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40"/>
        Raad 25 apr 2016 - Ingekomen stuk, Samenwerkende particuliere bungalowparken, Forensenbelasting recreatiewoningen gemeente Ommen, nr 19-45-3019, 20160331
        <text:bookmark-end text:name="414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Samenwerkende particuliere bungalowparken, Forensenbelasting recreatiewoningen gemeente Ommen, nr 19-45-3019, 20160331.pdf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817,50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apr-2016-Ingekomen-stuk-Samenwerkende-particuliere-bungalowparken-Forensenbelasting-recreatiewoningen-gemeente-Ommen-nr-19-45-3019-2016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728" meta:non-whitespace-character-count="6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