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94" w:history="1">
        <w:r>
          <w:rPr>
            <w:rFonts w:ascii="Arial" w:hAnsi="Arial" w:eastAsia="Arial" w:cs="Arial"/>
            <w:color w:val="155CAA"/>
            <w:u w:val="single"/>
          </w:rPr>
          <w:t xml:space="preserve">1 Raad 24 okt 2016 - Ingekomen stuk, Inspectie van het Onderwijs, Landelijk rapport toezicht en handhaving kinderopvang, nr 6475-12962, 20161006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94"/>
      <w:r w:rsidRPr="00A448AC">
        <w:rPr>
          <w:rFonts w:ascii="Arial" w:hAnsi="Arial" w:cs="Arial"/>
          <w:b/>
          <w:bCs/>
          <w:color w:val="303F4C"/>
          <w:lang w:val="en-US"/>
        </w:rPr>
        <w:t>Raad 24 okt 2016 - Ingekomen stuk, Inspectie van het Onderwijs, Landelijk rapport toezicht en handhaving kinderopvang, nr 6475-12962, 20161006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25-10-2016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okt 2016 - Ingekomen stuk, Inspectie van het Onderwijs, Landelijk rapport toezicht en handhaving kinderopvang, nr 6475-12962, 20161006.pdf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okt-2016-Ingekomen-stuk-Inspectie-van-het-Onderwijs-Landelijk-rapport-toezicht-en-handhaving-kinderopvang-nr-6475-12962-201610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