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8" w:history="1">
        <w:r>
          <w:rPr>
            <w:rFonts w:ascii="Arial" w:hAnsi="Arial" w:eastAsia="Arial" w:cs="Arial"/>
            <w:color w:val="155CAA"/>
            <w:u w:val="single"/>
          </w:rPr>
          <w:t xml:space="preserve">1 Raad 23 mrt 2015 - Ingekomen stuk, LOC, Uitvoering jeugdwet, nr. 21539-24689, 20150305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8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LOC, Uitvoering jeugdwet, nr. 21539-24689, 20150305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LOC, Uitvoering jeugdwet, nr. 21539-24689, 20150305.pdf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3-mrt-2015-Ingekomen-stuk-LOC-Uitvoering-jeugdwet-nr-21539-24689-201503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