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09:28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17" text:style-name="Internet_20_link" text:visited-style-name="Visited_20_Internet_20_Link">
              <text:span text:style-name="ListLabel_20_28">
                <text:span text:style-name="T8">1 Raad 23 juni 2014 - Ingekomen stuk, Wecycle, Benchmark 2013 afgifte elektrische apparaten, nr 17378-20460, 20140605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17"/>
        Raad 23 juni 2014 - Ingekomen stuk, Wecycle, Benchmark 2013 afgifte elektrische apparaten, nr 17378-20460, 20140605
        <text:bookmark-end text:name="412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24-06-2014 11:06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juni 2014 - Ingekomen stuk, Wecycle, Benchmark 2013 afgifte elektrische apparaten, nr 17378-20460, 20140605.pdf
              <text:span text:style-name="T3"/>
            </text:p>
            <text:p text:style-name="P7"/>
          </table:table-cell>
          <table:table-cell table:style-name="Table4.A2" office:value-type="string">
            <text:p text:style-name="P8">12-06-2014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150,59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3-juni-2014---Ingekomen-stuk--Wecycle--Benchmark-2013-afgifte-elektrische-apparaten--nr-17378-20460--201406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14" meta:non-whitespace-character-count="5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