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20" text:style-name="Internet_20_link" text:visited-style-name="Visited_20_Internet_20_Link">
              <text:span text:style-name="ListLabel_20_28">
                <text:span text:style-name="T8">1 Raad 23 juni 2014 - Ingekomen stuk, Provincie Overijssel, Bevindingen toezichtsthema 2013 grondexploitatie, nr 16728-19951, 20140612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20"/>
        Raad 23 juni 2014 - Ingekomen stuk, Provincie Overijssel, Bevindingen toezichtsthema 2013 grondexploitatie, nr 16728-19951, 20140612
        <text:bookmark-end text:name="412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24-06-2014 11:07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juni 2014 - Ingekomen stuk, Provincie Overijssel, Bevindingen toezichtsthema 2013 grondexploitatie, nr 16728-19951, 20140612.pdf
              <text:span text:style-name="T3"/>
            </text:p>
            <text:p text:style-name="P7"/>
          </table:table-cell>
          <table:table-cell table:style-name="Table4.A2" office:value-type="string">
            <text:p text:style-name="P8">12-06-2014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169,28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3-juni-2014---Ingekomen-stuk--Provincie-Overijssel--Bevindingen-toezichtsthema-2013-grondexploitatie--nr-16728-19951--201406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65" meta:non-whitespace-character-count="6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