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27-06-2025 16:04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35" w:history="1">
        <w:r>
          <w:rPr>
            <w:rFonts w:ascii="Arial" w:hAnsi="Arial" w:eastAsia="Arial" w:cs="Arial"/>
            <w:color w:val="155CAA"/>
            <w:u w:val="single"/>
          </w:rPr>
          <w:t xml:space="preserve">1 Raad 22 juni 2015 - Ingekomen stuk, Provincie Overijssel, Reactie toezichtsvorm programmabegroting 2015, nr 22110-26479, 20150518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35"/>
      <w:r w:rsidRPr="00A448AC">
        <w:rPr>
          <w:rFonts w:ascii="Arial" w:hAnsi="Arial" w:cs="Arial"/>
          <w:b/>
          <w:bCs/>
          <w:color w:val="303F4C"/>
          <w:lang w:val="en-US"/>
        </w:rPr>
        <w:t>Raad 22 juni 2015 - Ingekomen stuk, Provincie Overijssel, Reactie toezichtsvorm programmabegroting 2015, nr 22110-26479, 20150518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25-06-2015 14:21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22 juni 2015 - Ingekomen stuk, Provincie Overijssel, Reactie toezichtsvorm programmabegroting 2015, nr 22110-26479, 20150518.pdf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01-06-2015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115,80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Raad-22-juni-2015-Ingekomen-stuk-Provincie-Overijssel-Reactie-toezichtsvorm-programmabegroting-2015-nr-22110-26479-2015051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