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0" text:style-name="Internet_20_link" text:visited-style-name="Visited_20_Internet_20_Link">
              <text:span text:style-name="ListLabel_20_28">
                <text:span text:style-name="T8">1 Raad 21 mrt 2016 - Ingekomen stuk, Ministerie van BZK, Circulaire huisvestingsvoorzieningen Burgemeester en Wethouders, nr 1389-2039, 20160229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0"/>
        Raad 21 mrt 2016 - Ingekomen stuk, Ministerie van BZK, Circulaire huisvestingsvoorzieningen Burgemeester en Wethouders, nr 1389-2039, 20160229
        <text:bookmark-end text:name="4143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Ministerie van BZK, Circulaire huisvestingsvoorzieningen Burgemeester en Wethouders, nr 1389-2039, 20160229.pdf
              <text:span text:style-name="T3"/>
            </text:p>
            <text:p text:style-name="P7"/>
          </table:table-cell>
          <table:table-cell table:style-name="Table4.A2" office:value-type="string">
            <text:p text:style-name="P8">29-02-2016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1-mrt-2016-Ingekomen-stuk-Ministerie-van-BZK-Circulaire-huisvestingsvoorzieningen-Burgemeester-en-Wethouders-nr-1389-2039-201602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93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