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1" text:style-name="Internet_20_link" text:visited-style-name="Visited_20_Internet_20_Link">
              <text:span text:style-name="ListLabel_20_28">
                <text:span text:style-name="T8">1 Raad 21 mrt 2016 - Ingekomen stuk, Detailhandel Nederland, Actie voor goed detailhandelsklimaat, nr 1509-2226, 20160302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1"/>
        Raad 21 mrt 2016 - Ingekomen stuk, Detailhandel Nederland, Actie voor goed detailhandelsklimaat, nr 1509-2226, 20160302
        <text:bookmark-end text:name="414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24-03-2016 17:01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Detailhandel Nederland, Actie voor goed detailhandelsklimaat, nr 1509-2226, 20160302.pdf
              <text:span text:style-name="T3"/>
            </text:p>
            <text:p text:style-name="P7"/>
          </table:table-cell>
          <table:table-cell table:style-name="Table4.A2" office:value-type="string">
            <text:p text:style-name="P8">02-03-2016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212,01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1-mrt-2016-Ingekomen-stuk-Detailhandel-Nederland-Actie-voor-goed-detailhandelsklimaat-nr-1509-2226-2016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26" meta:non-whitespace-character-count="5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