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10" text:style-name="Internet_20_link" text:visited-style-name="Visited_20_Internet_20_Link">
              <text:span text:style-name="ListLabel_20_28">
                <text:span text:style-name="T8">1 Raad 19 dec 2016 - Ingekomen stuk, DGBW, Circulaire geïndexeerde bedragen voor politieke ambstdragers, nr 7856-16423, 20161208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10"/>
        Raad 19 dec 2016 - Ingekomen stuk, DGBW, Circulaire geïndexeerde bedragen voor politieke ambstdragers, nr 7856-16423, 20161208
        <text:bookmark-end text:name="415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22-12-2016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19 dec 2016 - Ingekomen stuk, DGBW, Circulaire geïndexeerde bedragen voor politieke ambstdragers, nr 7856-16423, 20161208.pdf
              <text:span text:style-name="T3"/>
            </text:p>
            <text:p text:style-name="P7"/>
          </table:table-cell>
          <table:table-cell table:style-name="Table4.A2" office:value-type="string">
            <text:p text:style-name="P8">08-12-2016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625,77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9-dec-2016-Ingekomen-stuk-DGBW-Circulaire-geindexeerde-bedragen-voor-politieke-ambstdragers-nr-7856-16423-20161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47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