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57" w:history="1">
        <w:r>
          <w:rPr>
            <w:rFonts w:ascii="Arial" w:hAnsi="Arial" w:eastAsia="Arial" w:cs="Arial"/>
            <w:color w:val="155CAA"/>
            <w:u w:val="single"/>
          </w:rPr>
          <w:t xml:space="preserve">1 Raad 17 febr 2014 - Ingekomen stuk, G.J. van den Beld, Strijd BP en overlast, 20140206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57"/>
      <w:r w:rsidRPr="00A448AC">
        <w:rPr>
          <w:rFonts w:ascii="Arial" w:hAnsi="Arial" w:cs="Arial"/>
          <w:b/>
          <w:bCs/>
          <w:color w:val="303F4C"/>
          <w:lang w:val="en-US"/>
        </w:rPr>
        <w:t>Raad 17 febr 2014 - Ingekomen stuk, G.J. van den Beld, Strijd BP en overlast, 20140206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18-02-2014 09:43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17 febr 2014 - Ingekomen stuk, G.J. van den Beld, Strijd BP en overlast, 20140206.pdf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17-febr-2014-Ingekomen-stuk-G-J-van-den-Beld-Strijd-BP-en-overlast-201402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