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86" w:history="1">
        <w:r>
          <w:rPr>
            <w:rFonts w:ascii="Arial" w:hAnsi="Arial" w:eastAsia="Arial" w:cs="Arial"/>
            <w:color w:val="155CAA"/>
            <w:u w:val="single"/>
          </w:rPr>
          <w:t xml:space="preserve">1 Raad 14 apr 2014 - Ingekomen stuk, VNG, Advies commissie Derksen, 20140403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86"/>
      <w:r w:rsidRPr="00A448AC">
        <w:rPr>
          <w:rFonts w:ascii="Arial" w:hAnsi="Arial" w:cs="Arial"/>
          <w:b/>
          <w:bCs/>
          <w:color w:val="303F4C"/>
          <w:lang w:val="en-US"/>
        </w:rPr>
        <w:t>Raad 14 apr 2014 - Ingekomen stuk, VNG, Advies commissie Derksen, 20140403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apr 2014 - Ingekomen stuk, VNG, Advies commissie Derksen, 20140403.pdf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apr-2014---Ingekomen-stuk--VNG--Advies-commissie-Derksen--2014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