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07:35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96" w:history="1">
        <w:r>
          <w:rPr>
            <w:rFonts w:ascii="Arial" w:hAnsi="Arial" w:eastAsia="Arial" w:cs="Arial"/>
            <w:color w:val="155CAA"/>
            <w:u w:val="single"/>
          </w:rPr>
          <w:t xml:space="preserve">1 Raad 14 apr 2014 - Ingekomen stuk, Milieuregie, Duurzaamheid in de gemeentelijke structuurvisie, 20140407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96"/>
      <w:r w:rsidRPr="00A448AC">
        <w:rPr>
          <w:rFonts w:ascii="Arial" w:hAnsi="Arial" w:cs="Arial"/>
          <w:b/>
          <w:bCs/>
          <w:color w:val="303F4C"/>
          <w:lang w:val="en-US"/>
        </w:rPr>
        <w:t>Raad 14 apr 2014 - Ingekomen stuk, Milieuregie, Duurzaamheid in de gemeentelijke structuurvisie, 20140407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 09:45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apr 2014 - Ingekomen stuk, Milieuregie, Duurzaamheid in de gemeentelijke structuurvisie, 20140407.pdf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2,56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14-apr-2014---Ingekomen-stuk--Milieuregie--Duurzaamheid-in-de-gemeentelijke-structuurvisie--201404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