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26-06-2025 19:47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182" w:history="1">
        <w:r>
          <w:rPr>
            <w:rFonts w:ascii="Arial" w:hAnsi="Arial" w:eastAsia="Arial" w:cs="Arial"/>
            <w:color w:val="155CAA"/>
            <w:u w:val="single"/>
          </w:rPr>
          <w:t xml:space="preserve">1 Raad 14 apr 2014 - Ingekomen stuk, Iverde, gemeentelijke bezuinigingen gemeentelijke groen, nr 15385-14517, 20140331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182"/>
      <w:r w:rsidRPr="00A448AC">
        <w:rPr>
          <w:rFonts w:ascii="Arial" w:hAnsi="Arial" w:cs="Arial"/>
          <w:b/>
          <w:bCs/>
          <w:color w:val="303F4C"/>
          <w:lang w:val="en-US"/>
        </w:rPr>
        <w:t>Raad 14 apr 2014 - Ingekomen stuk, Iverde, gemeentelijke bezuinigingen gemeentelijke groen, nr 15385-14517, 20140331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20-05-2014 11:47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14 apr 2014 - Ingekomen stuk, Iverde, gemeentelijke bezuinigingen gemeentelijke groen, nr 15385-14517, 20140331.pdf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31-03-2014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188,46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Raad-14-apr-2014---Ingekomen-stuk--Iverde--gemeentelijke-bezuinigingen-gemeentelijke-groen--nr-15385-14517--2014033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