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76" w:history="1">
        <w:r>
          <w:rPr>
            <w:rFonts w:ascii="Arial" w:hAnsi="Arial" w:eastAsia="Arial" w:cs="Arial"/>
            <w:color w:val="155CAA"/>
            <w:u w:val="single"/>
          </w:rPr>
          <w:t xml:space="preserve">1 Raad 14 apr 2014 - Ingekomen stuk, Brief aan raadsleden Overijssel, 20140331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76"/>
      <w:r w:rsidRPr="00A448AC">
        <w:rPr>
          <w:rFonts w:ascii="Arial" w:hAnsi="Arial" w:cs="Arial"/>
          <w:b/>
          <w:bCs/>
          <w:color w:val="303F4C"/>
          <w:lang w:val="en-US"/>
        </w:rPr>
        <w:t>Raad 14 apr 2014 - Ingekomen stuk, Brief aan raadsleden Overijssel, 20140331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 09:26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apr 2014 - Ingekomen stuk, Brief aan raadsleden Overijssel, 20140331.pdf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356,16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14-apr-2014---Ingekomen-stuk--Brief-aan-raadsleden-Overijssel--2014033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