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00:36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75" w:history="1">
        <w:r>
          <w:rPr>
            <w:rFonts w:ascii="Arial" w:hAnsi="Arial" w:eastAsia="Arial" w:cs="Arial"/>
            <w:color w:val="155CAA"/>
            <w:u w:val="single"/>
          </w:rPr>
          <w:t xml:space="preserve">1 Raad 11 jul 2016 - Ingekomen stuk, Zorgbelang Overijssel, Samenwerking Sociaal Domein, nr 4088-7337, 20160621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75"/>
      <w:r w:rsidRPr="00A448AC">
        <w:rPr>
          <w:rFonts w:ascii="Arial" w:hAnsi="Arial" w:cs="Arial"/>
          <w:b/>
          <w:bCs/>
          <w:color w:val="303F4C"/>
          <w:lang w:val="en-US"/>
        </w:rPr>
        <w:t>Raad 11 jul 2016 - Ingekomen stuk, Zorgbelang Overijssel, Samenwerking Sociaal Domein, nr 4088-7337, 20160621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12-07-2016 12:26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11 jul 2016 - Ingekomen stuk, Zorgbelang Overijssel, Samenwerking Sociaal Domein, nr 4088-7337, 20160621.pdf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21-06-2016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347,29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Raad-11-jul-2016-Ingekomen-stuk-Zorgbelang-Overijssel-Samenwerking-Sociaal-Domein-nr-4088-7337-2016062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