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3" w:history="1">
        <w:r>
          <w:rPr>
            <w:rFonts w:ascii="Arial" w:hAnsi="Arial" w:eastAsia="Arial" w:cs="Arial"/>
            <w:color w:val="155CAA"/>
            <w:u w:val="single"/>
          </w:rPr>
          <w:t xml:space="preserve">1 Overijsselse Ombudsman, Jaarverslag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3"/>
      <w:r w:rsidRPr="00A448AC">
        <w:rPr>
          <w:rFonts w:ascii="Arial" w:hAnsi="Arial" w:cs="Arial"/>
          <w:b/>
          <w:bCs/>
          <w:color w:val="303F4C"/>
          <w:lang w:val="en-US"/>
        </w:rPr>
        <w:t>Overijsselse Ombudsman, Jaarverslag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Overijsselse Ombudsman, Jaarverslag 2022, 20230302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506,01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Overijsselse-Ombudsman-Jaarverslag-2022-2023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