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05:05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970" w:history="1">
        <w:r>
          <w:rPr>
            <w:rFonts w:ascii="Arial" w:hAnsi="Arial" w:eastAsia="Arial" w:cs="Arial"/>
            <w:color w:val="155CAA"/>
            <w:u w:val="single"/>
          </w:rPr>
          <w:t xml:space="preserve">1 Lbr VNG, VNG reactie op de rijksbegroting 2023, zaaknr 671287, 20220929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970"/>
      <w:r w:rsidRPr="00A448AC">
        <w:rPr>
          <w:rFonts w:ascii="Arial" w:hAnsi="Arial" w:cs="Arial"/>
          <w:b/>
          <w:bCs/>
          <w:color w:val="303F4C"/>
          <w:lang w:val="en-US"/>
        </w:rPr>
        <w:t>Lbr VNG, VNG reactie op de rijksbegroting 2023, zaaknr 671287, 20220929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29-09-2022 13:03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VNG reactie op de rijksbegroting 2023, zaaknr 671287, 20220929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29-09-2022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1,55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VNG-reactie-op-de-rijksbegroting-2023-zaaknr-671287-20220929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