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4" w:history="1">
        <w:r>
          <w:rPr>
            <w:rFonts w:ascii="Arial" w:hAnsi="Arial" w:eastAsia="Arial" w:cs="Arial"/>
            <w:color w:val="155CAA"/>
            <w:u w:val="single"/>
          </w:rPr>
          <w:t xml:space="preserve">1 Lbr VNG, Spreidingswet en Oekraïne-opvang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4"/>
      <w:r w:rsidRPr="00A448AC">
        <w:rPr>
          <w:rFonts w:ascii="Arial" w:hAnsi="Arial" w:cs="Arial"/>
          <w:b/>
          <w:bCs/>
          <w:color w:val="303F4C"/>
          <w:lang w:val="en-US"/>
        </w:rPr>
        <w:t>Lbr VNG, Spreidingswet en Oekraïne-opvang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Spreidingswet en Oekraïne-opvang, 20240201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Spreidingswet-en-Oekraine-opvang-2024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