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04:44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080" w:history="1">
        <w:r>
          <w:rPr>
            <w:rFonts w:ascii="Arial" w:hAnsi="Arial" w:eastAsia="Arial" w:cs="Arial"/>
            <w:color w:val="155CAA"/>
            <w:u w:val="single"/>
          </w:rPr>
          <w:t xml:space="preserve">1 Lbr VNG, Ledenraadpleging principeakkoord Cao Gemeenten 2023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080"/>
      <w:r w:rsidRPr="00A448AC">
        <w:rPr>
          <w:rFonts w:ascii="Arial" w:hAnsi="Arial" w:cs="Arial"/>
          <w:b/>
          <w:bCs/>
          <w:color w:val="303F4C"/>
          <w:lang w:val="en-US"/>
        </w:rPr>
        <w:t>Lbr VNG, Ledenraadpleging principeakkoord Cao Gemeenten 2023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27-02-2023 14:37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Ledenraadpleging principeakkoord Cao Gemeenten 2023, 20230227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27-02-2023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2,79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Ledenraadpleging-principeakkoord-Cao-Gemeenten-2023-20230227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