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4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25-004, VNG hervat deelname aan IZA en gesprekken over AZWA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4"/>
      <w:r w:rsidRPr="00A448AC">
        <w:rPr>
          <w:rFonts w:ascii="Arial" w:hAnsi="Arial" w:cs="Arial"/>
          <w:b/>
          <w:bCs/>
          <w:color w:val="303F4C"/>
          <w:lang w:val="en-US"/>
        </w:rPr>
        <w:t>Lbr VNG, 25-004, VNG hervat deelname aan IZA en gesprekken over AZWA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25-004, VNG hervat deelname aan IZA en gesprekken over AZWA,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5-004-VNG-hervat-deelname-aan-IZA-en-gesprekken-over-AZWA-2025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