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7" w:history="1">
        <w:r>
          <w:rPr>
            <w:rFonts w:ascii="Arial" w:hAnsi="Arial" w:eastAsia="Arial" w:cs="Arial"/>
            <w:color w:val="155CAA"/>
            <w:u w:val="single"/>
          </w:rPr>
          <w:t xml:space="preserve">1 Lbr VNG, 24-052, Actuele situatie asiel en integratie en oproep tot versneld huisvesten van statushouders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7"/>
      <w:r w:rsidRPr="00A448AC">
        <w:rPr>
          <w:rFonts w:ascii="Arial" w:hAnsi="Arial" w:cs="Arial"/>
          <w:b/>
          <w:bCs/>
          <w:color w:val="303F4C"/>
          <w:lang w:val="en-US"/>
        </w:rPr>
        <w:t>Lbr VNG, 24-052, Actuele situatie asiel en integratie en oproep tot versneld huisvesten van statushouders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24-052, Actuele situatie asiel en integratie en oproep tot versneld huisvesten van statushouders,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52-Actuele-situatie-asiel-en-integratie-en-oproep-tot-versneld-huisvesten-van-statushouders-202501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