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4" w:history="1">
        <w:r>
          <w:rPr>
            <w:rFonts w:ascii="Arial" w:hAnsi="Arial" w:eastAsia="Arial" w:cs="Arial"/>
            <w:color w:val="155CAA"/>
            <w:u w:val="single"/>
          </w:rPr>
          <w:t xml:space="preserve">1 Lbr VNG, 24-048, Tijdelijke verlenging afspraken ketenovereenkomst verpakkingen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4"/>
      <w:r w:rsidRPr="00A448AC">
        <w:rPr>
          <w:rFonts w:ascii="Arial" w:hAnsi="Arial" w:cs="Arial"/>
          <w:b/>
          <w:bCs/>
          <w:color w:val="303F4C"/>
          <w:lang w:val="en-US"/>
        </w:rPr>
        <w:t>Lbr VNG, 24-048, Tijdelijke verlenging afspraken ketenovereenkomst verpakkingen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24-048, Tijdelijke verlenging afspraken ketenovereenkomst verpakkingen,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48-Tijdelijke-verlenging-afspraken-ketenovereenkomst-verpakkingen-2024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