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10:07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43" w:history="1">
        <w:r>
          <w:rPr>
            <w:rFonts w:ascii="Arial" w:hAnsi="Arial" w:eastAsia="Arial" w:cs="Arial"/>
            <w:color w:val="155CAA"/>
            <w:u w:val="single"/>
          </w:rPr>
          <w:t xml:space="preserve">1 Lbr VNG, 24-009, Samenwerken met de Handreiking flexibele arbeidsinzet gemeentelijke sector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43"/>
      <w:r w:rsidRPr="00A448AC">
        <w:rPr>
          <w:rFonts w:ascii="Arial" w:hAnsi="Arial" w:cs="Arial"/>
          <w:b/>
          <w:bCs/>
          <w:color w:val="303F4C"/>
          <w:lang w:val="en-US"/>
        </w:rPr>
        <w:t>Lbr VNG, 24-009, Samenwerken met de Handreiking flexibele arbeidsinzet gemeentelijke sector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 12:32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24-009, Samenwerken met de Handreiking flexibele arbeidsinzet gemeentelijke sector, 20240411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105,99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09-Samenwerken-met-de-Handreiking-flexibele-arbeidsinzet-gemeentelijke-sector-202404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