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19" w:history="1">
        <w:r>
          <w:rPr>
            <w:rFonts w:ascii="Arial" w:hAnsi="Arial" w:eastAsia="Arial" w:cs="Arial"/>
            <w:color w:val="155CAA"/>
            <w:u w:val="single"/>
          </w:rPr>
          <w:t xml:space="preserve">1 Lbr VNG, 23-053, Toelichting inzet reserves vanaf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19"/>
      <w:r w:rsidRPr="00A448AC">
        <w:rPr>
          <w:rFonts w:ascii="Arial" w:hAnsi="Arial" w:cs="Arial"/>
          <w:b/>
          <w:bCs/>
          <w:color w:val="303F4C"/>
          <w:lang w:val="en-US"/>
        </w:rPr>
        <w:t>Lbr VNG, 23-053, Toelichting inzet reserves vanaf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 12:38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23-053, Toelichting inzet reserves vanaf 2024, 20231221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3-053-Toelichting-inzet-reserves-vanaf-2024-202312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