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82" text:style-name="Internet_20_link" text:visited-style-name="Visited_20_Internet_20_Link">
              <text:span text:style-name="ListLabel_20_28">
                <text:span text:style-name="T8">1 Lbr VNG, 23-047/048/049/050, Nazending Najaars ALV 1 december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82"/>
        Lbr VNG, 23-047/048/049/050, Nazending Najaars ALV 1 december 2023
        <text:bookmark-end text:name="432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14-12-2023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23-047, Eerste nazending Najaars ALV 1 december 2023, 20231127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146,32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7-Eerste-nazending-Najaars-ALV-1-december-2023-20231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23-048, Tweede nazending Najaars ALV 1 december 2023, 20231127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173,00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8-Tweede-nazending-Najaars-ALV-1-december-2023-202311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23-049, Derde nazending Najaars ALV 1 december 2023, 20231205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9-Derde-nazending-Najaars-ALV-1-december-2023-2023120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Lbr VNG, 23-050, Vierde nazending Najaars ALV 1 december 2023, 20231205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50-Vierde-nazending-Najaars-ALV-1-december-2023-202312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1" meta:character-count="773" meta:non-whitespace-character-count="6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