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4" w:history="1">
        <w:r>
          <w:rPr>
            <w:rFonts w:ascii="Arial" w:hAnsi="Arial" w:eastAsia="Arial" w:cs="Arial"/>
            <w:color w:val="155CAA"/>
            <w:u w:val="single"/>
          </w:rPr>
          <w:t xml:space="preserve">1 Lbr VNG, 23-011, LOGA 23-01, Nieuwe artikelen cao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4"/>
      <w:r w:rsidRPr="00A448AC">
        <w:rPr>
          <w:rFonts w:ascii="Arial" w:hAnsi="Arial" w:cs="Arial"/>
          <w:b/>
          <w:bCs/>
          <w:color w:val="303F4C"/>
          <w:lang w:val="en-US"/>
        </w:rPr>
        <w:t>Lbr VNG, 23-011, LOGA 23-01, Nieuwe artikelen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23-011, LOGA 23-01, Nieuwe artikelen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11-LOGA-23-01-Nieuwe-artikelen-cao-2023-2023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