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1" w:history="1">
        <w:r>
          <w:rPr>
            <w:rFonts w:ascii="Arial" w:hAnsi="Arial" w:eastAsia="Arial" w:cs="Arial"/>
            <w:color w:val="155CAA"/>
            <w:u w:val="single"/>
          </w:rPr>
          <w:t xml:space="preserve">1 Lbr VNG, 22-064, Publicatie STIP op de horizon voor de gemeentelijke cao, zaaknr. 677191, 20121212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1"/>
      <w:r w:rsidRPr="00A448AC">
        <w:rPr>
          <w:rFonts w:ascii="Arial" w:hAnsi="Arial" w:cs="Arial"/>
          <w:b/>
          <w:bCs/>
          <w:color w:val="303F4C"/>
          <w:lang w:val="en-US"/>
        </w:rPr>
        <w:t>Lbr VNG, 22-064, Publicatie STIP op de horizon voor de gemeentelijke cao, zaaknr. 677191, 20121212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22-064, Publicatie STIP op de horizon voor de gemeentelijke cao, zaaknr. 677191, 20121212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64-Publicatie-STIP-op-de-horizon-voor-de-gemeentelijke-cao-zaaknr-677191-201212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