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13:40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992" w:history="1">
        <w:r>
          <w:rPr>
            <w:rFonts w:ascii="Arial" w:hAnsi="Arial" w:eastAsia="Arial" w:cs="Arial"/>
            <w:color w:val="155CAA"/>
            <w:u w:val="single"/>
          </w:rPr>
          <w:t xml:space="preserve">1 Lbr VNG, 22-058, Openstelling vacatures Tijdelijke Commissie Asiel en Migratie, zaaknr 674992, 20221117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992"/>
      <w:r w:rsidRPr="00A448AC">
        <w:rPr>
          <w:rFonts w:ascii="Arial" w:hAnsi="Arial" w:cs="Arial"/>
          <w:b/>
          <w:bCs/>
          <w:color w:val="303F4C"/>
          <w:lang w:val="en-US"/>
        </w:rPr>
        <w:t>Lbr VNG, 22-058, Openstelling vacatures Tijdelijke Commissie Asiel en Migratie, zaaknr 674992, 20221117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17-11-2022 15:16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22-058, Openstelling vacatures Tijdelijke Commissie Asiel en Migratie, zaaknr 674992, 20221117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17-11-2022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263,90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Onbekend-1/Lbr-VNG-22-058-Openstelling-vacatures-Tijdelijke-Commissie-Asiel-en-Migratie-zaaknr-674992-2022111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