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679" w:history="1">
        <w:r>
          <w:rPr>
            <w:rFonts w:ascii="Arial" w:hAnsi="Arial" w:eastAsia="Arial" w:cs="Arial"/>
            <w:color w:val="155CAA"/>
            <w:u w:val="single"/>
          </w:rPr>
          <w:t xml:space="preserve">1 Lbr VNG, 22-002, Nazending Extra ALV 13 januari 2022, zaaknr 649009, 20220113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679"/>
      <w:r w:rsidRPr="00A448AC">
        <w:rPr>
          <w:rFonts w:ascii="Arial" w:hAnsi="Arial" w:cs="Arial"/>
          <w:b/>
          <w:bCs/>
          <w:color w:val="303F4C"/>
          <w:lang w:val="en-US"/>
        </w:rPr>
        <w:t>Lbr VNG, 22-002, Nazending Extra ALV 13 januari 2022, zaaknr 649009, 20220113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27-01-2022 15:53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22-002, Nazending Extra ALV 13 januari 2022, zaaknr 649009, 20220113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13-01-2022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138,36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2-002-Nazending-Extra-ALV-13-januari-2022-zaaknr-649009-2022011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