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08:08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44" w:history="1">
        <w:r>
          <w:rPr>
            <w:rFonts w:ascii="Arial" w:hAnsi="Arial" w:eastAsia="Arial" w:cs="Arial"/>
            <w:color w:val="155CAA"/>
            <w:u w:val="single"/>
          </w:rPr>
          <w:t xml:space="preserve">1 Lbr VNG, 21-082, Belangrijke ontwikkelingen positie raadsleden en wethouders, zaaknr 646696, 20211207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44"/>
      <w:r w:rsidRPr="00A448AC">
        <w:rPr>
          <w:rFonts w:ascii="Arial" w:hAnsi="Arial" w:cs="Arial"/>
          <w:b/>
          <w:bCs/>
          <w:color w:val="303F4C"/>
          <w:lang w:val="en-US"/>
        </w:rPr>
        <w:t>Lbr VNG, 21-082, Belangrijke ontwikkelingen positie raadsleden en wethouders, zaaknr 646696, 20211207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21-12-2021 19:47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21-082, Belangrijke ontwikkelingen positie raadsleden en wethouders, zaaknr 646696, 20211207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07-12-2021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335,83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1-082-Belangrijke-ontwikkelingen-positie-raadsleden-en-wethouders-zaaknr-646696-2021120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