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07:30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39" w:history="1">
        <w:r>
          <w:rPr>
            <w:rFonts w:ascii="Arial" w:hAnsi="Arial" w:eastAsia="Arial" w:cs="Arial"/>
            <w:color w:val="155CAA"/>
            <w:u w:val="single"/>
          </w:rPr>
          <w:t xml:space="preserve">1 Lbr VNG, 21-081, Extra ALV 13 januari 2022, zaaknr 646321, 20211206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39"/>
      <w:r w:rsidRPr="00A448AC">
        <w:rPr>
          <w:rFonts w:ascii="Arial" w:hAnsi="Arial" w:cs="Arial"/>
          <w:b/>
          <w:bCs/>
          <w:color w:val="303F4C"/>
          <w:lang w:val="en-US"/>
        </w:rPr>
        <w:t>Lbr VNG, 21-081, Extra ALV 13 januari 2022, zaaknr 646321, 20211206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21-12-2021 19:48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21-081, Extra ALV 13 januari 2022, zaaknr 646321, 20211206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06-12-2021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149,80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1-081-Extra-ALV-13-januari-2022-zaaknr-646321-2021120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