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16:18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55" w:history="1">
        <w:r>
          <w:rPr>
            <w:rFonts w:ascii="Arial" w:hAnsi="Arial" w:eastAsia="Arial" w:cs="Arial"/>
            <w:color w:val="155CAA"/>
            <w:u w:val="single"/>
          </w:rPr>
          <w:t xml:space="preserve">1 Lbr VNG 21-066, LOGA circulaire, Regeling Netto FLO spaartegoed, zaaknr 640160, 20210907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55"/>
      <w:r w:rsidRPr="00A448AC">
        <w:rPr>
          <w:rFonts w:ascii="Arial" w:hAnsi="Arial" w:cs="Arial"/>
          <w:b/>
          <w:bCs/>
          <w:color w:val="303F4C"/>
          <w:lang w:val="en-US"/>
        </w:rPr>
        <w:t>Lbr VNG 21-066, LOGA circulaire, Regeling Netto FLO spaartegoed, zaaknr 640160, 20210907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14:52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21-066, LOGA circulaire, Regeling Netto FLO spaartegoed, 20210907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442,57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66-LOGA-circulaire-Regeling-Netto-FLO-spaartegoed-zaaknr-640160-202109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