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96" w:history="1">
        <w:r>
          <w:rPr>
            <w:rFonts w:ascii="Arial" w:hAnsi="Arial" w:eastAsia="Arial" w:cs="Arial"/>
            <w:color w:val="155CAA"/>
            <w:u w:val="single"/>
          </w:rPr>
          <w:t xml:space="preserve">1 Lbr VNG 21-048, Arbitrage jeugd en afspraken Rijk-VNG, zaaknr 634994, 20210610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96"/>
      <w:r w:rsidRPr="00A448AC">
        <w:rPr>
          <w:rFonts w:ascii="Arial" w:hAnsi="Arial" w:cs="Arial"/>
          <w:b/>
          <w:bCs/>
          <w:color w:val="303F4C"/>
          <w:lang w:val="en-US"/>
        </w:rPr>
        <w:t>Lbr VNG 21-048, Arbitrage jeugd en afspraken Rijk-VNG, zaaknr 634994, 20210610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04-10-2021 15:14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21-048, Arbitrage-jeugd-en-afspraken-Rijk-VNG, zaaknr 634994, 20210610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142,05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1-048-Arbitrage-jeugd-en-afspraken-Rijk-VNG-zaaknr-634994-2021061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