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9" w:history="1">
        <w:r>
          <w:rPr>
            <w:rFonts w:ascii="Arial" w:hAnsi="Arial" w:eastAsia="Arial" w:cs="Arial"/>
            <w:color w:val="155CAA"/>
            <w:u w:val="single"/>
          </w:rPr>
          <w:t xml:space="preserve">1 Lbr VNG 21-026, Vernieuwing-antenneconvenant, zaaknr 632926 , 20210420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9"/>
      <w:r w:rsidRPr="00A448AC">
        <w:rPr>
          <w:rFonts w:ascii="Arial" w:hAnsi="Arial" w:cs="Arial"/>
          <w:b/>
          <w:bCs/>
          <w:color w:val="303F4C"/>
          <w:lang w:val="en-US"/>
        </w:rPr>
        <w:t>Lbr VNG 21-026, Vernieuwing-antenneconvenant, zaaknr 632926 , 20210420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21-026, Vernieuwing-antenneconvenant, zaaknr 632926 , 20210420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26-Vernieuwing-antenneconvenant-zaaknr-632926-202104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