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7" w:history="1">
        <w:r>
          <w:rPr>
            <w:rFonts w:ascii="Arial" w:hAnsi="Arial" w:eastAsia="Arial" w:cs="Arial"/>
            <w:color w:val="155CAA"/>
            <w:u w:val="single"/>
          </w:rPr>
          <w:t xml:space="preserve">1 Lbr VNG 21-019, Arbitrage over tekorten jeugdzorg, zaaknr 631512, 20210316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7"/>
      <w:r w:rsidRPr="00A448AC">
        <w:rPr>
          <w:rFonts w:ascii="Arial" w:hAnsi="Arial" w:cs="Arial"/>
          <w:b/>
          <w:bCs/>
          <w:color w:val="303F4C"/>
          <w:lang w:val="en-US"/>
        </w:rPr>
        <w:t>Lbr VNG 21-019, Arbitrage over tekorten jeugdzorg, zaaknr 631512,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21-019, Arbitrage over tekorten jeugdzorg, zaaknr 631512,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9-Arbitrage-over-tekorten-jeugdzorg-zaaknr-631512-2021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