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23:43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387" text:style-name="Internet_20_link" text:visited-style-name="Visited_20_Internet_20_Link">
              <text:span text:style-name="ListLabel_20_28">
                <text:span text:style-name="T8">1 Lbr VNG 21-019, Arbitrage over tekorten jeugdzorg, zaaknr 631512, 20210316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387"/>
        Lbr VNG 21-019, Arbitrage over tekorten jeugdzorg, zaaknr 631512, 20210316
        <text:bookmark-end text:name="4238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30-03-2021 12:20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21-019, Arbitrage over tekorten jeugdzorg, zaaknr 631512, 20210316
              <text:span text:style-name="T3"/>
            </text:p>
            <text:p text:style-name="P7"/>
          </table:table-cell>
          <table:table-cell table:style-name="Table4.A2" office:value-type="string">
            <text:p text:style-name="P8">16-03-2021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136,55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1-019-Arbitrage-over-tekorten-jeugdzorg-zaaknr-631512-2021031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1" meta:character-count="487" meta:non-whitespace-character-count="44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795029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795029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