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09:22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138" w:history="1">
        <w:r>
          <w:rPr>
            <w:rFonts w:ascii="Arial" w:hAnsi="Arial" w:eastAsia="Arial" w:cs="Arial"/>
            <w:color w:val="155CAA"/>
            <w:u w:val="single"/>
          </w:rPr>
          <w:t xml:space="preserve">1 Lbr VNG 20-057, Stand van zaken PGB 2.0 systeem, zaaknr 621634, 20200721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138"/>
      <w:r w:rsidRPr="00A448AC">
        <w:rPr>
          <w:rFonts w:ascii="Arial" w:hAnsi="Arial" w:cs="Arial"/>
          <w:b/>
          <w:bCs/>
          <w:color w:val="303F4C"/>
          <w:lang w:val="en-US"/>
        </w:rPr>
        <w:t>Lbr VNG 20-057, Stand van zaken PGB 2.0 systeem, zaaknr 621634, 20200721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12-10-2020 15:58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20-057, Stand van zaken PGB 2.0 systeem, zaaknr 621634, 20200721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21-07-2020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1,24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voor-kennisgeving-aannemen/Lbr-VNG-20-057-Stand-van-zaken-PGB-2-0-systeem-zaaknr-621634-20200721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