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08:12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03" text:style-name="Internet_20_link" text:visited-style-name="Visited_20_Internet_20_Link">
              <text:span text:style-name="ListLabel_20_28">
                <text:span text:style-name="T8">1 Lbr VNG 20-041, Sectorale routekaart gemeentelijk maatschappelijk vastgoed vastgesteld, zaaknr 620595, 20200625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03"/>
        Lbr VNG 20-041, Sectorale routekaart gemeentelijk maatschappelijk vastgoed vastgesteld, zaaknr 620595, 20200625
        <text:bookmark-end text:name="421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15:51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20-041, Sectorale routekaart gemeentelijk maatschappelijk vastgoed vastgesteld, zaaknr 620595, 20200625
              <text:span text:style-name="T3"/>
            </text:p>
            <text:p text:style-name="P7"/>
          </table:table-cell>
          <table:table-cell table:style-name="Table4.A2" office:value-type="string">
            <text:p text:style-name="P8">25-06-2020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1,30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20-041-Sectorale-routekaart-gemeentelijk-maatschappelijk-vastgoed-vastgesteld-zaaknr-620595-202006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96" meta:non-whitespace-character-count="5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1604046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1604046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