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85" w:history="1">
        <w:r>
          <w:rPr>
            <w:rFonts w:ascii="Arial" w:hAnsi="Arial" w:eastAsia="Arial" w:cs="Arial"/>
            <w:color w:val="155CAA"/>
            <w:u w:val="single"/>
          </w:rPr>
          <w:t xml:space="preserve">1 Lbr VNG 19-097, Bekendmaking ontbreken tegenkandidaten vacatures VNG bestuur en commissies, zaaknr 610637, 20191121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85"/>
      <w:r w:rsidRPr="00A448AC">
        <w:rPr>
          <w:rFonts w:ascii="Arial" w:hAnsi="Arial" w:cs="Arial"/>
          <w:b/>
          <w:bCs/>
          <w:color w:val="303F4C"/>
          <w:lang w:val="en-US"/>
        </w:rPr>
        <w:t>Lbr VNG 19-097, Bekendmaking ontbreken tegenkandidaten vacatures VNG bestuur en commissies, zaaknr 610637, 20191121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17-12-2019 10:35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19-097, Bekendmaking ontbreken tegenkandidaten vacatures VNG bestuur en commissies, zaaknr 610637, 20191121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119,93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19-097-Bekendmaking-ontbreken-tegenkandidaten-vacatures-VNG-bestuur-en-commissies-zaaknr-610637-201911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