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34" w:history="1">
        <w:r>
          <w:rPr>
            <w:rFonts w:ascii="Arial" w:hAnsi="Arial" w:eastAsia="Arial" w:cs="Arial"/>
            <w:color w:val="155CAA"/>
            <w:u w:val="single"/>
          </w:rPr>
          <w:t xml:space="preserve">1 Lbr VNG 19-060, Correctie op LOGA-brief Actualisering begrippen brandweerhoofdstukken, zaaknr 605608, 20190819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34"/>
      <w:r w:rsidRPr="00A448AC">
        <w:rPr>
          <w:rFonts w:ascii="Arial" w:hAnsi="Arial" w:cs="Arial"/>
          <w:b/>
          <w:bCs/>
          <w:color w:val="303F4C"/>
          <w:lang w:val="en-US"/>
        </w:rPr>
        <w:t>Lbr VNG 19-060, Correctie op LOGA-brief Actualisering begrippen brandweerhoofdstukken, zaaknr 605608, 20190819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19-060, Correctie op LOGA-brief Actualisering begrippen brandweerhoofdstukken, zaaknr 605608, 20190819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60-Correctie-op-LOGA-brief-Actualisering-begrippen-brandweerhoofdstukken-zaaknr-605608-201908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