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25" w:history="1">
        <w:r>
          <w:rPr>
            <w:rFonts w:ascii="Arial" w:hAnsi="Arial" w:eastAsia="Arial" w:cs="Arial"/>
            <w:color w:val="155CAA"/>
            <w:u w:val="single"/>
          </w:rPr>
          <w:t xml:space="preserve">1 Lbr VNG 19-056, Stikstof problematiek en inventarisatie gevolgen voor gemeenten, zaaknr 605071, 20190718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25"/>
      <w:r w:rsidRPr="00A448AC">
        <w:rPr>
          <w:rFonts w:ascii="Arial" w:hAnsi="Arial" w:cs="Arial"/>
          <w:b/>
          <w:bCs/>
          <w:color w:val="303F4C"/>
          <w:lang w:val="en-US"/>
        </w:rPr>
        <w:t>Lbr VNG 19-056, Stikstof problematiek en inventarisatie gevolgen voor gemeenten, zaaknr 605071, 20190718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19-056, Stikstof problematiek en inventarisatie gevolgen voor gemeenten, zaaknr 605071, 20190718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324,36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56-Stikstof-problematiek-en-inventarisatie-gevolgen-voor-gemeenten-zaaknr-605071-201907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